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35477" w14:textId="77777777" w:rsidR="00D84581" w:rsidRDefault="00D84581" w:rsidP="00D84581">
      <w:pPr>
        <w:spacing w:after="0" w:line="240" w:lineRule="auto"/>
        <w:rPr>
          <w:rFonts w:ascii="Times New Roman" w:eastAsia="Times New Roman" w:hAnsi="Symbol" w:cs="Times New Roman"/>
          <w:sz w:val="24"/>
          <w:szCs w:val="24"/>
          <w:lang w:eastAsia="pl-PL"/>
        </w:rPr>
      </w:pPr>
    </w:p>
    <w:p w14:paraId="57BA7814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Pamięci holograficzne</w:t>
      </w:r>
    </w:p>
    <w:p w14:paraId="279D77ED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5F0E7EB6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4A1FEE20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45FF0B94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646C1151" w14:textId="307CB48D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Zasady holografii znane s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od dziesięcioleci, a już od dawna trwaj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prace nad holograficznymi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nikami pamięci. Obecnie hologramy znajduj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pojedyncze zastosowania jako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niki pamięci, np. analogowe hologramy do identyfikacji banknotów, kart kredytowych i opakowań produktów. Nie udało się dotychczas zastosować holografii w masowo wytwarzanych urz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dzeniach pamięci.</w:t>
      </w:r>
    </w:p>
    <w:p w14:paraId="20E1477D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7D8051EF" w14:textId="3A7F9F0C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Gdy ostatnio spadło tempo ulepszania technologii twardych dysków, zaczęto znów intensywnie szukać alternatywy na przyszło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ć. Pamięci holograficzne teoretycznie mog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wykorzystać cał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objęto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nika w trzech wymiarach. Tak duża gęsto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zapisu stanie się potrzebna najpó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ź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niej wraz z wprowadzeniem telewizji HDTV. Obrazy i filmy telewizji HDTV maj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dziesięciokrotnie większ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objęto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niż media tradycyjne. Obecnie mianem pamięci holograficznych okre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la się również płaskie, ułożone warstwami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niki, najczę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ciej w poł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czeniu z niebieskim laserem. Oparte na nim techniki pamięci oferuj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znacznie większ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pojemno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niż dotychczasowe i chyba będ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mogły rozwi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zać problemy, przynajmniej w perspektywie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redniookresowej.</w:t>
      </w:r>
    </w:p>
    <w:p w14:paraId="3ED441A0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6FE65E14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</w:p>
    <w:p w14:paraId="73B425FD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Niebieski laser</w:t>
      </w:r>
    </w:p>
    <w:p w14:paraId="61225D82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</w:p>
    <w:p w14:paraId="7E6A3524" w14:textId="76AA854F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Rys. 1. Podczas zapisu dane s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przez modulator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wiatła (SLM) przetwarzane stronicowo na wzór.</w:t>
      </w:r>
    </w:p>
    <w:p w14:paraId="4B859C04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5FBF1BB2" w14:textId="06D14826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Zastosowanie niebieskiego lasera w DVD umożliwia dzięki mniejszej długo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ci fali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wietlnej zapis znacznie mniejszych wgłębień (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pits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), a co za tym idzie, znaczne zwiększenie gęsto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zapisu. Niebieski laser pracuje z fal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 długo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ci 405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nm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, podczas gdy czerwony z fal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 długo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635 do 650 nm. Zaletę wyższej rozdzielczo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ci przy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wietle o mniejszej długo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ci fali można wykorzystać również w pamięciach holograficznych. Niestety, niebieskie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wiatło lasera trudno uzyskać. Stosowane materiały nie s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stabilne ani temperaturowo, ani odporne na upływ czasu. Badania w tym zakresie cały czas trwaj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. Szczerze mówi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c, trwa wła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ciwie wy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cig - kto pierwszy zbuduje działaj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cy, stabilny i nadaj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cy się do masowej produkcji niebieski laser na bazie azotku galu, ma szanse na fortunę. Według prognoz firmy badawczej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Strategies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Unlimited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, sprzedaż aparatury wykorzystuj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cej technologię niebieskiego lasera osi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gnie w roku 2008 warto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100 mld dolarów. Rz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dowe szacunki mówi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, że polskie firmy mog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 tego uszczkn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zaledwie jakie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ś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2 mld dolarów. Bo przecież w tym wy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cigu nie brak i polskich akcentów. Zespół kierowany przez profesora Sylwestra Porowskiego z Centrum Badań Wysokoci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nieniowych PAN uzyskał na pewnym etapie doskonałe wyniki, niestety, zabrakło 30-40 mln złotych. Taka kwota była niezbędna, żeby powstał produkt komercyjny. Komitet Badań Naukowych i prywatni inwestorzy zdołali zgromadzić ł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cznie około 24 mln złotych. Ostatecznie prawo do wykorzystania polskiego niebieskiego lasera zdobył w ramach projektu offsetowego koncern Lockheed Martin za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mieszn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kwotę, 3 mln dolarów.</w:t>
      </w:r>
    </w:p>
    <w:p w14:paraId="41965820" w14:textId="0AA1D8C2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Japońska firma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Nichia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prowadzi od lat pionierskie badania nad niebieskim laserem, uzyskuj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 przy tym niejako po drodze liczne patenty. To z kolei prowadzi do rozlicznych sporów o prawa do patentów z firmami i konsorcjami, które chciałyby wprowadzić niebieski laser na rynek. Po sze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ciu latach sporów udało się doprowadzić do ugody między firm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Nichia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a firm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Toyoda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-też z Japonii. Na razie napędy i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niki korzystaj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ce z niebieskiego lasera sprzedaje... Sony.</w:t>
      </w:r>
    </w:p>
    <w:p w14:paraId="3FBFA302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35DD6655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lastRenderedPageBreak/>
        <w:t>Błękitne wariacje</w:t>
      </w:r>
    </w:p>
    <w:p w14:paraId="09ABA638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Rys. 2. W trakcie odczytu za rozpoznanie wzoru odpowiada zwykle układ CCD</w:t>
      </w:r>
    </w:p>
    <w:p w14:paraId="191475EF" w14:textId="748C5A8D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 segmencie napędów DVD z niebieskim laserem zapewne znów pojawi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się różne formaty i walka o prymat na rynku. Firma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Plasmon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( http://www.plasmon.com ) chce umie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cić na płycie o wymiarach DVD 30 GB danych i uzyskać transfer 8 MB/s, korzystaj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 z technologii Ultra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Density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Optical (UDO). Przyszłe generacje tej technologii maj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zapewniać pojemno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ci 60 i 120 GB.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Plasmon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pracuje nad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nikami i napędami we własnym zakresie; firma przeznaczyła na badania 25 mln dolarów. W pewnym okresie w pracach brały udział firmy Sony i HP. Sony współpracuje również z Hitachi, Philipsem i innymi firmami nad technologi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Blue </w:t>
      </w:r>
      <w:r w:rsidR="000149C6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Ray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Disc (BD)o pojemno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nika 27 GB.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niki BD nie s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kompatybilne z dotychczasowymi mediami DVD. Podstawowa licencja na BD ma kosztować 20 tysięcy dolarów, a licencja na ochronę tre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- 120 tysięcy dolarów rocznie i 10 centów od napędu.</w:t>
      </w:r>
    </w:p>
    <w:p w14:paraId="40FCFF28" w14:textId="1E54AA58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Producenci mediów mieliby płacić 8 tysięcy dolarów rocznie i 2 centy od płyty. Sony poinformował w grudniu 2003 roku o dostępno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napędów DVD z niebieskim laserem i odpowiednich płyt o pojemno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23,3 GB. Transfer wynosi 9 MB/s.</w:t>
      </w:r>
    </w:p>
    <w:p w14:paraId="44D57740" w14:textId="6301D35C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Napęd ma kosztować około 3 tysięcy dolarów, a płyta - 45 dolarów. Toshiba i NEC propaguj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własny for mat - Advanced Optical Disc (AOD). Pojemno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płyty wynosi od 15 do 20 GB. Sanyo również nie pozostaje w tyle - proponuje płyty o pojemno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od 25 do 30 GB. Firmy Hitachi i Maxwell id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inn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drog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. Proponuj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płyty składaj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ce się maksymalnie z 200 warstw, mog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ce pomie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cić do 1 TB danych. Poszczególne warstwy s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przezroczyste. Warstwa aktywna przebarwia się na niebiesko, gdy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zo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stanie do niej przyłożone napięcie.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niki wielokrotnego zapisu i odpowiednie napędy powinny się pojawić się na rynku w roku 2007.</w:t>
      </w:r>
    </w:p>
    <w:p w14:paraId="4C4CA44C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</w:p>
    <w:p w14:paraId="3347CD7A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64A2A14D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4E12FAF6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Historia holograficznych technik pamięci masowych</w:t>
      </w:r>
    </w:p>
    <w:p w14:paraId="49329019" w14:textId="6AC41728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Prace nad holograficznymi technikami pamięci masowych trwaj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od około czterdziestu lat, szczególnie w firmie IBM (centrum badawcze Almaden). W latach dziewięćdziesi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tych rz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d amerykański przekazał za po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rednictwem DARPA (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Defense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Advanced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Research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Projects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Agency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) miliony dolarów na badania. Ta sama agencja jest "odpowiedzialna" za powstanie pierwowzoru Internetu.</w:t>
      </w:r>
    </w:p>
    <w:p w14:paraId="33CEFC07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 </w:t>
      </w:r>
    </w:p>
    <w:p w14:paraId="26A7766E" w14:textId="286A50F1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Rys 3. Gdy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zka sygnałowa trafi na zmodulowany obraz, powstanie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zka referencyjna.</w:t>
      </w:r>
    </w:p>
    <w:p w14:paraId="0177244B" w14:textId="60734B3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Przed trzema laty czasopismo "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Scientific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American" przepowiadało holograficznym systemom pamięci masowych wielk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przyszło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ć. Wydaje się, że ten moment wła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nie nadchodzi. Pocz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tkowo jednak na pewno nie będzie to produkt masowy. Szczególnie aktywne s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dwie amerykańskie firmy: Aprilis (wydzielona z firmy Polaroid) oraz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InPhase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(założona przez firmę Lucent przy wsparciu firmy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Imation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).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niki tych firm testowane s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obecnie przez wszystkich licz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cych się producentów systemów pamięci masowych.</w:t>
      </w:r>
    </w:p>
    <w:p w14:paraId="52B80BEA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Holograficzne techniki pamięci masowych</w:t>
      </w:r>
    </w:p>
    <w:p w14:paraId="79ADF276" w14:textId="1CEA2FFB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Wzór interferencyjny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dulacja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wiatła (SLM) Hologram powstaje w wyniku interferencji (nałożenia się) dwóch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zek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wiatła. Obie powstaj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najczę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ciej w wyniku optycznego podziału jednej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zki z tego samego lasera.</w:t>
      </w:r>
    </w:p>
    <w:p w14:paraId="213B9819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</w:p>
    <w:p w14:paraId="0646BB0C" w14:textId="4578F40C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Rys. 4. Zasada działa w obie strony i pozwala odtworzyć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zkę sygnałow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.</w:t>
      </w:r>
    </w:p>
    <w:p w14:paraId="6282652B" w14:textId="0719B945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Jedna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zka, tak zwana sygnałowa, zawiera odwzorowanie obiektu powstałe w wyniku modulacji, natomiast druga, tak zwana referencyjna, składa się ze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wiatła spójnego. Modulacja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zki sygnałowej za pomoc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obrazu lub wzorca bitowego następuje w przestrzennym modulatorze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wiatła (SLM -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Spatial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Light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Modulator). Jest to na ogół struktura ciekłokrystaliczna, podobna do ekranu TFT. Od pewnego czasu stosuje się również znane z projektorów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mikrolustra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. Powstaj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cy trójwymiarowy wzór interferencyjny zapisywany jest na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lastRenderedPageBreak/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wiatłoczułym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niku. W trakcie zapisu zmienia się jeden z parametrów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nika: przepuszczalno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ć optyczna, współczynnik załamania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wiatła lub grubo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warstwy materiału.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nikiem jest najczę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ciej ciało krystaliczne lub błona polimerowa. Odczyt obrazu polega na 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wietleniu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nika spójnym promieniem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wiatła, identycznym z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zk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referencyjn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. W ten sposób pierwotny obiekt zostaje ponownie odwzorowany. Za przetwarzanie obrazu odpowiada zwykle matryca detekcyjna w postaci układu CCD.</w:t>
      </w:r>
    </w:p>
    <w:p w14:paraId="3F700A19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48403500" w14:textId="71836F3C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Holograficzny zapis danych jest utrudniony przez szkodliwe interferencje, występuj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ce również w teleskopach astronomicznych w przestrzeni kosmicznej. Opracowane na ich potrzeby procedury korekcji błędów znalazły zastosowanie w niemal niezmienionej formie również w holograficznym zapisie danych.</w:t>
      </w:r>
    </w:p>
    <w:p w14:paraId="623E2B9F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061C5ED0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096E0232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5C56E738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</w:p>
    <w:p w14:paraId="0CF12BE2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Wariacje holografii</w:t>
      </w:r>
    </w:p>
    <w:p w14:paraId="1B2D3D18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318D79D7" w14:textId="301E21D5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Wszystkie procesy holograficznego zapisu danych s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odwracalne. Gdy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zka referencyjna do odczytu danych trafi na hologram, powstanie obraz. 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wietlenie hologramu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wiatłem modulowanym daje w efekcie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zkę referencyjn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.</w:t>
      </w:r>
    </w:p>
    <w:p w14:paraId="1B8808D2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4CC7205A" w14:textId="26C6243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 przypadku 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wietlenia obrazu od tyłu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zk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referencyjn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powstaje przed modulatorem pierwotny obraz (projekcja tylna). Odwzorowanie holograficzne wymaga stosowania drogich, bardzo precyzyjnych soczewek i systemów optycznych. Do odczytu stosuje się projekcję tyln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, a ta sama optyka służy zarówno do odczytu, jak i zapisu. Hologram informacji przewidzianej do zapisania można wytworzyć za pomoc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luster o zmiennych k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tach, fal różnej długo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lub za pomoc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rozmaitych przesunięć fazowych. Można w ten sposób zapisać na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niku jednocze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nie całe zestawy danych.</w:t>
      </w:r>
    </w:p>
    <w:p w14:paraId="0E310227" w14:textId="289CB204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Efekt jednoczesnego zapamiętywania wielu obrazów można zaobserwować na przykładzie hologramów na kartach kredytowych - gdy patrzysz na nie pod różnymi k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tami, możesz zobaczyć różne obrazy. Szczytowe osi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gnięcie w tym zakresie do tej pory to zapis 10 tysięcy obrazów w strukturze o grubo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1 centymetra.</w:t>
      </w:r>
    </w:p>
    <w:p w14:paraId="092C4366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0222607F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Media holograficzne</w:t>
      </w:r>
    </w:p>
    <w:p w14:paraId="7BDCA3B4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5A8119BE" w14:textId="487AE27E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Opieraj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 się na obecnym stanie techniki holograficzne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niki pamięci o wielko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płyty CD mogłyby pomie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cić do około 200 GB przy transferze 20 MB/s. Inaczej niż w przypadku twardego dysku czy ta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my, zapisywany jest cały zestaw danych (strona), a nie szeregowy strumień bitów. Obecnie wielko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takiego zestawu wynosi około 1 MB, a więc w jednym kroku zapisuje się lub odczytuje 1 MB danych.</w:t>
      </w:r>
    </w:p>
    <w:p w14:paraId="25C5676A" w14:textId="2E1AB1CF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Wła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nie ta cecha umożliwia uzyska nie dużej przepływno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danych, niezbędnej w operowaniu wielkimi zbiorami danych.</w:t>
      </w:r>
    </w:p>
    <w:p w14:paraId="211D1BBC" w14:textId="3CCE6089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Jedn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 większych przeszkód, hamuj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cych rozpowszechnienie się holograficznych pamięci masowych, jest brak odpowiedniego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nika. Spore nadzieje rokuje szkło z niewielkimi otworkami wypełnionymi akrylem. Szkło jest materiałem bardzo stabilnym. Większo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stosowanych dotychczas polimerów kurczy się podczas obróbki i zniekształca hologram. Szkło wypełnione akrylem kurczy się o mniej niż jeden procent, a więc jest znacznie bardziej stabilne od polimerów. Ponadto szkło może mieć większ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grubo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ć, dlatego automatycznie zwiększa się pojemno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nika.</w:t>
      </w:r>
    </w:p>
    <w:p w14:paraId="74BDC70C" w14:textId="48B902B9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Najczę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ciej do tej pory stosowany materiał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fotorefrakcyjny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to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nioban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litu (LiNbO3) z domieszk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żelaza. Jest to jednak materiał drogi i bardzo mało odporny; dane s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tracone przy wielokrotnym odczycie, a zakres dynamiki jest niewielki. Czynione s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próby powstrzymania danych przed zanikaniem podczas odczytu. Stosuje się w tym celu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wiatło lasera o dwóch barwach oraz stechiometryczny, a także wzbogacony o różne domieszki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nioban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litu (SLM).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lastRenderedPageBreak/>
        <w:t>Materiał jest aktywowany jedn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barw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  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wiatła, a druga służy do odczytu i zapisu. Materiały polimerowe do jednokrotnego zapisu zmieniaj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swój współczynnik załamania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wiatła w wyniku nieodwracalnej polimeryzacji. Skład chemiczny i wła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ciwo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optyczne materiału zmieniaj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się w sposób stały. Przewiduje się, że ich trwało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powinna sięgać 50 lat.</w:t>
      </w:r>
    </w:p>
    <w:p w14:paraId="2F8A09B4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Zastosowania</w:t>
      </w:r>
    </w:p>
    <w:p w14:paraId="5DA2F90F" w14:textId="40D60ED4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 trakcie holograficznego zapisu danych zapisywane s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stronicowo całe bloki danych. Każd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stronę można sobie wyobrazić jako kwadratow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płytkę, w której wypalono wzór bitowy (wgłębienie-brak wgłębienia). Przy każdej zmianie k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ta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zki referencyjnej powstaje kolejna wirtualna płytka, zależnie od zmiany k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ta przed lub za poprzedni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. Każda płytka odczytywana jest za pomoc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spójnej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zki referencyjnej, padaj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cej pod odpowiednim k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tem.</w:t>
      </w:r>
    </w:p>
    <w:p w14:paraId="503996E8" w14:textId="5686C9A3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Jeżeli podczas odczytu zostanie zastosowana maska wyszukiwania, można od razu odczytywać okre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lone tre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ci, bez pó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ź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niejszego porównywania.</w:t>
      </w:r>
    </w:p>
    <w:p w14:paraId="4C5F0FAF" w14:textId="12A78960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Poszukiwane tre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ci, charakteryzuj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ce się wysokim współczynnikiem korelacji, daj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bardziej intensywne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wiatło podczas odczytu. To sposób na szybkie i łatwe przeszukiwanie baz danych.</w:t>
      </w:r>
    </w:p>
    <w:p w14:paraId="75E97866" w14:textId="230F667C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Obecnie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niki holograficzne to zwykle media jednokrotnego zapisu. Ich obszary zastosowań s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podobne do płyt CD i DVD. Dzięki dużej pojemno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można na nich zapisać na przykład cały film fabularny w jako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HDTV. Szczególn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zalet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jest praca równoległa. Zwiększenie szybko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transmisji nie wymaga zwiększania szybko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obrotowej. Wzrost pojemno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nie wymaga tworzenia coraz mniejszych punktów zapisu. Ed Grochowski i Hans Coufal z centrum badawczego Almaden (IBM) przewiduj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następuj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klasyfikację pamięci holograficznych.</w:t>
      </w:r>
    </w:p>
    <w:p w14:paraId="18BCDA5E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</w:p>
    <w:p w14:paraId="2011FEA0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6D61F59F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6218C920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Produkty i projekty</w:t>
      </w:r>
    </w:p>
    <w:p w14:paraId="6BE8ADE9" w14:textId="67FA7CB4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Jest wiele projektów zwi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zanych z pamięciami holograficznymi. Co prawda, nie wszystkie firmy lub grupy robocze, które rozpoczęły prace nad jakimi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ś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rozwi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zaniami, przetrwały do tej pory. Niektóre z kolei do tej pory otrzymuj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spore wsparcie, jak choćby Aprilis, który dostał od jednego tylko inwestora 17 mln na badania i rozwój.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InPhase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otrzymał ostatnio zlecenie badawcze o warto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ci 600 tysięcy dolarów od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National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Technology Alliance, agendy Ministerstwa Obrony Stanów Zjednoczonych. Wcze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niej firma pozyskała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rodki inwestycyjne w wysoko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ci około 8,3 miliona dolarów. Japońska firma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Optware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otrzymała 4,9 miliona dolarów od grupy inwestorów, w tym Intela.</w:t>
      </w:r>
    </w:p>
    <w:p w14:paraId="5864A2F4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27CC4648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</w:p>
    <w:p w14:paraId="62B0F140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39240DD3" w14:textId="3E279869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Rys. 5. Przegl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d pamięci holograficznych</w:t>
      </w:r>
    </w:p>
    <w:p w14:paraId="37332EDF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4199E4F9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47F1F4A1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</w:p>
    <w:p w14:paraId="2842ABF7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Aprilis</w:t>
      </w:r>
    </w:p>
    <w:p w14:paraId="20CBF6A7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4BC228ED" w14:textId="6B72AF06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Opracowany przez Aprilis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 jednorazowego zapisu HMD 120 to kr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żek o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rednicy 120 mm, umieszczony między dwiema płytkami szklanymi. Pojemno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wynosi 200 GB. Z kolei kwadratowa karta pamięci HMC050 ma wymiary 50x50 mm. Grubo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wła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ciwych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ników wynosi 200 lub 300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ľm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.</w:t>
      </w:r>
    </w:p>
    <w:p w14:paraId="72A8F824" w14:textId="558B9452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Całkowita grubo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wraz z osłon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wynosi 0,6, 1,2 lub 1,55 mm. Aprilis podaje, że transfer danych sięga 100 MB/s. Zastosowany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 CROP (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Cationic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Ring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Opening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Polymerization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) jest bardzo stabilny geometrycznie, ponadto charakteryzuje się duż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czuło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i wysokim współczynnikiem załamania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wiatła przy niewielkim rozproszeniu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zki. Po zapisie materiał jest odporny na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wiatło i utlenianie. Aprilis zakupił w 2002 roku 21 patentów na techniki holograficzne od firmy Manhattan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Scientifics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. Ponad 15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lastRenderedPageBreak/>
        <w:t>firm, w tym tak znane, jak Sony czy Samsung, testuje obecnie płyty i karty oferowane przez Aprilis.</w:t>
      </w:r>
    </w:p>
    <w:p w14:paraId="57447A6F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7919C9D0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IBM</w:t>
      </w:r>
    </w:p>
    <w:p w14:paraId="6D603A6E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1FAE7032" w14:textId="3C56BB73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IBM zajmuje się pamięciami holograficznymi z różn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intensywno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już od ponad 30 lat. Testuje przy tym wszelkie możliwe materiały, które mogłyby wchodzić w grę jako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niki holograficzne. Na razie inżynierom IBM udało się uzyskać gęsto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zapisu 400 b/ľm2. Dla porównania, gęsto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zapisu płyt CD wynosi 0,7 b/ľm2, za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ś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płyt DVD -4,5 b/ľm2. Problem utraty danych przy wielokrotnym odczycie IBM chce rozwi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zać za pomoc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różnych długo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ci fal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wiatła używanego do zapisu i odczytu.</w:t>
      </w:r>
    </w:p>
    <w:p w14:paraId="0212E6BD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2A2A9975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InPhase</w:t>
      </w:r>
      <w:proofErr w:type="spellEnd"/>
    </w:p>
    <w:p w14:paraId="3F4DEB35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2B452899" w14:textId="0A039CC4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nik opracowany przez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InPhase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-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Tapestry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- ma szczególnie dobre wła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ciwo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tworzenia hologramów. Tworz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go dwa składniki chemiczne, daj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ce się polimeryzować niezależnie od siebie. Płytę o wymiarach CD, pojemno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100 GB i transferze 20 MB/s zaprezentowano publicznie w kwietniu 2003 roku. Do chwili zapisu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nik musi pozostawać w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wiatłoszczelnej obudowie. Komercyjne produkty maj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być dostępne w niedalekiej przyszło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ci. Niezależnie od tego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InPhase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informuje, że prowadzi testy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nika wielokrotnego zapisu (do tysi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ca razy). Brak informacji o zastosowanych materiałach. Stosowane dotychczas materiały na bazie azobenzenu można zapisywać od 60 do 80 razy.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InPhase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przej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ł od Bell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Labs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42 patenty na techniki holograficzne, sam zgłosił też około 40 kolejnych. Niektóre zostały już przyznane.</w:t>
      </w:r>
    </w:p>
    <w:p w14:paraId="17332EFB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219E0BE8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Optilink</w:t>
      </w:r>
      <w:proofErr w:type="spellEnd"/>
    </w:p>
    <w:p w14:paraId="473B8A03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522A80E9" w14:textId="2F013275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Według własnych informacji, szwedzka firma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Optilink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pierwsza na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wiecie opracowała przeno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ne urz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dzenie do testowania i oceny pamięci holograficznych, podł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czane do peceta. Sam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nik ma format karty kredytowej.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Optilink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wykorzystuje polaryzowan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holografię fourierowsk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; płytka ciekłego kryształu o grubo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ci 2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ľm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ma pojemno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1 GB.</w:t>
      </w:r>
    </w:p>
    <w:p w14:paraId="43A05318" w14:textId="78A9E876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Laser pracuje z fal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 długo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ci 532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nm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i impulsami o długo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rzędu pikosekund. Modulację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zki zapewnia SLM na bazie ciekłego kryształu.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zka danych podlega przekształceniom fourierowskim, a następnie, wraz z prostopadł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do niej 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zk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referencyjn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, tworzy obraz interferencyjny.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Optilink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preferuje peptydy i ciekłe kryształy. Peptydy to polimery, które pod wpływem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wiatła mog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tworzyć zwi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zki z różnymi chromoforami. Peptydy maj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wiele bardzo dobrych wła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ciwo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optycznych, s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bardzo stabilne temperaturowo, a także niedrogie w produkcji.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Optilink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stosuje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wiatło spolaryzowane liniowo do zapisu, natomiast do jego usuwania -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wiatło spolaryzowane kołowo. Do odczytu i zapisu można używać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wiatła o takiej samej długo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fali, ponieważ energia 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wietlenia potrzebna do przeorientowania materiału wymaga różnej intensywno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ci.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Optilink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współpracuje z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Riso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National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Laboratory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w Danii oraz z Uniwersytetem Budapeszteńskim.</w:t>
      </w:r>
    </w:p>
    <w:p w14:paraId="78A0A17F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456086EA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Optostor</w:t>
      </w:r>
      <w:proofErr w:type="spellEnd"/>
    </w:p>
    <w:p w14:paraId="23248990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4BBE28E3" w14:textId="6D4D795D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Niemiecka firma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Optostor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z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Ratingen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we współpracy z Instytutem Krystalografii Uniwersytetu w Kolonii postawiła na kryształy litu. Obecnie największe z nich maj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wymiary mniej więcej 50x50x3 mm, s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przy tym wytrzymałe mechanicznie i odporne chemicznie. Zastosowany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nioban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litu musi zostać utrwalony w krysztale po zapisie. Czę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z około 20 zgłoszonych patentów dotyczy wła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nie tego procesu, którego szczegóły nie zostały opublikowane.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Optostor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przewidywał, że trwało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nika sięgnie 500 lat. Niestety, sama firma okazała się znacznie mniej trwała i w grudniu 2002 roku ogłosiła upadło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ć. Zabrakło milionów dolarów, potrzebnych na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lastRenderedPageBreak/>
        <w:t>opracowanie handlowego produktu. Takie sumy łatwiej znale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ź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 w Stanach Zjednoczonych lub w Japonii. Wyniki badań wykorzystuj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inne firmy.</w:t>
      </w:r>
    </w:p>
    <w:p w14:paraId="5933628E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2358D67A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Optware</w:t>
      </w:r>
      <w:proofErr w:type="spellEnd"/>
    </w:p>
    <w:p w14:paraId="2228C796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117D80FD" w14:textId="4AE612C2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Japońska firma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Optware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współpracuje z amerykańskimi uczelniami-Uniwersytetem Stanforda i MIT. </w:t>
      </w:r>
      <w:r w:rsidR="000149C6"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rodki inwestycyjne s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również amerykańskie. Celem jest wyprodukowanie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nika o pojemno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1 TB i transferze 1 GB/s.</w:t>
      </w:r>
    </w:p>
    <w:p w14:paraId="16CA25EE" w14:textId="666EF0EF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Oprócz tego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Optware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produkuje tzw.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Holographic</w:t>
      </w:r>
      <w:proofErr w:type="spellEnd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 Media Analyzer (S-VRD) - urz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dzenie do analizy mediów holograficznych.</w:t>
      </w:r>
    </w:p>
    <w:p w14:paraId="641DE1E4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696FDE23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Perspektywy</w:t>
      </w:r>
    </w:p>
    <w:p w14:paraId="03A9DDA7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26A90997" w14:textId="47CEDFDD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Holograficzne przechowywanie danych to teoretycznie prosta technika, znana w dodatku od wielu lat. Okazuje się jednak, że opracowanie powszechnie dostępnych produktów jest nadzwyczaj trudne. Szczególne wyzwanie stanowi opracowanie samego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nika. Przed zapisem (na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wietleniem)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nik musi być przechowywany w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wiatłoszczelnym opakowaniu -jak błona fotograficzna. Przed ponownym zapisem trzeba przywrócić mu 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wiatłoczuło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ć.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ników nie można tłoczyć jak płyt CD czy DVD. Utrudnia to ich masowe powielanie. Płyty DVD z materiałem holograficznym maj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mie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cić około 1 TB danych, ale pojawi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się na rynku dopiero za trzy do pięciu lat.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niki oparte na niebieskim laserze, ale nie w technologii holograficznej, na przykład płyty DVD o pojemno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30 GB, powinny za to pojawić się już niebawem. Według opinii producentów i ekspertów, no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niki holograficzne nie zast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ą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pi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w przyszło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ci tradycyjnych - ta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>ś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m, twardych dysków i magnetooptycznych, DVD. Nowa technika może wyprzeć tradycyjn</w:t>
      </w:r>
      <w:r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ą  </w:t>
      </w: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jedynie w bardzo specjalistycznych zastosowaniach. </w:t>
      </w:r>
    </w:p>
    <w:p w14:paraId="3DE1A8FE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151CE886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111124C4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</w:p>
    <w:p w14:paraId="59BC1CA3" w14:textId="77777777" w:rsidR="00D84581" w:rsidRPr="00D84581" w:rsidRDefault="00D84581" w:rsidP="00D84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Autor - Herman </w:t>
      </w:r>
      <w:proofErr w:type="spellStart"/>
      <w:r w:rsidRPr="00D84581">
        <w:rPr>
          <w:rFonts w:ascii="Courier New" w:eastAsia="Times New Roman" w:hAnsi="Courier New" w:cs="Courier New"/>
          <w:sz w:val="20"/>
          <w:szCs w:val="20"/>
          <w:lang w:eastAsia="pl-PL"/>
        </w:rPr>
        <w:t>Strass</w:t>
      </w:r>
      <w:proofErr w:type="spellEnd"/>
    </w:p>
    <w:p w14:paraId="5DD5339E" w14:textId="77777777" w:rsidR="00D84581" w:rsidRDefault="00D84581" w:rsidP="00D84581">
      <w:pPr>
        <w:spacing w:after="0" w:line="240" w:lineRule="auto"/>
        <w:rPr>
          <w:rFonts w:ascii="Times New Roman" w:eastAsia="Times New Roman" w:hAnsi="Symbol" w:cs="Times New Roman"/>
          <w:sz w:val="24"/>
          <w:szCs w:val="24"/>
          <w:lang w:eastAsia="pl-PL"/>
        </w:rPr>
      </w:pPr>
    </w:p>
    <w:p w14:paraId="0883357B" w14:textId="77777777" w:rsidR="00D84581" w:rsidRDefault="00D84581" w:rsidP="00D84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AB180B" w14:textId="77777777" w:rsidR="00D84581" w:rsidRDefault="00D84581" w:rsidP="00D84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8FD2FB" w14:textId="77777777" w:rsidR="00D84581" w:rsidRDefault="00D84581" w:rsidP="00D84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D93492" w14:textId="5DC62BEC" w:rsidR="00D84581" w:rsidRPr="000149C6" w:rsidRDefault="00D84581" w:rsidP="000149C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Zmień w ustawieniach strony szerokość marginesów -&gt; </w:t>
      </w:r>
      <w:r w:rsidRPr="000149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Lewy = 2,0 cm</w:t>
      </w: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149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Prawy = 2,0 cm</w:t>
      </w: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reszta bez zmian. </w:t>
      </w:r>
    </w:p>
    <w:p w14:paraId="5FC28507" w14:textId="4E936DE1" w:rsidR="00D84581" w:rsidRPr="000149C6" w:rsidRDefault="00D84581" w:rsidP="000149C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>Wstaw numery stron</w:t>
      </w:r>
      <w:r w:rsidR="00BD5D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stopce strony</w:t>
      </w:r>
      <w:bookmarkStart w:id="0" w:name="_GoBack"/>
      <w:bookmarkEnd w:id="0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Menu </w:t>
      </w:r>
      <w:r w:rsidRPr="000149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Wstaw -&gt; Numery</w:t>
      </w: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stron i kliknij </w:t>
      </w:r>
      <w:r w:rsidRPr="000149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OK</w:t>
      </w: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4763C07" w14:textId="73B3D3E1" w:rsidR="00D84581" w:rsidRPr="000149C6" w:rsidRDefault="00D84581" w:rsidP="000149C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Otwórz plik </w:t>
      </w:r>
      <w:r w:rsidRPr="000149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żródło.txt</w:t>
      </w: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linku następnie zaznacz cały tekst, skopiuj go i wklej do nowo utworzonego dokumentu Ms Word. </w:t>
      </w:r>
    </w:p>
    <w:p w14:paraId="06E9B442" w14:textId="5D0A4460" w:rsidR="00D84581" w:rsidRPr="000149C6" w:rsidRDefault="00D84581" w:rsidP="000149C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tym momencie najlepiej będzie sformatować cały tekst. Zaznacz tekst w całym dokumencie i zmień krój czcionki na </w:t>
      </w:r>
      <w:r w:rsidRPr="000149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Arial</w:t>
      </w: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0149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 pkt, wyjustowany</w:t>
      </w: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Tytuł dokumentu </w:t>
      </w:r>
      <w:proofErr w:type="spellStart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>powien</w:t>
      </w:r>
      <w:proofErr w:type="spellEnd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być czcionką </w:t>
      </w:r>
      <w:r w:rsidRPr="000149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Arial, 20 pkt, wyśrodkowany i pogrubiony</w:t>
      </w: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Wszystkie podtytuły zrób czcionką </w:t>
      </w:r>
      <w:r w:rsidRPr="000149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Arial, 12 pkt, pogrubione i wyśrodkowane</w:t>
      </w: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Podpisy pod rysunkami zrób czcionką </w:t>
      </w:r>
      <w:r w:rsidRPr="000149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Arial</w:t>
      </w: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rozmiarze </w:t>
      </w:r>
      <w:r w:rsidRPr="000149C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 pkt, wyśrodkowane</w:t>
      </w: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EB5080A" w14:textId="7BE6A7B4" w:rsidR="00D84581" w:rsidRPr="000149C6" w:rsidRDefault="00D84581" w:rsidP="000149C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na podzielenie tekstu na dwie kolumny. Zaznacz odpowiedni fragment tekstu (podtytuł "Niebieski laser" i "Błękitne wariacje") i wybierz z górnego menu </w:t>
      </w:r>
      <w:r w:rsidRPr="000149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Format -&gt; Kolumny</w:t>
      </w: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Po otwarciu okna dialogowego wybierz liczbę kolumn - 2, odstępy między kolumnami ustaw na 0,4 cm oraz zaznacz opcję "Rozdzielone linią". </w:t>
      </w:r>
      <w:proofErr w:type="spellStart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>Kliknik</w:t>
      </w:r>
      <w:proofErr w:type="spellEnd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149C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OK</w:t>
      </w: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2024D17" w14:textId="796A9291" w:rsidR="00D84581" w:rsidRPr="000149C6" w:rsidRDefault="00D84581" w:rsidP="000149C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Podziel kolejny fragment tekstu (podtytuł "Wariacje holografii", "Media holograficzne" i "Zastosowania") na trzy kolumny (odstępy między kolumnami ustaw na 0,5 cm, kolumny rozdziel linią). Podrozdział "Produkty i projekty" zrób w </w:t>
      </w:r>
      <w:proofErr w:type="spellStart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>ukłdzie</w:t>
      </w:r>
      <w:proofErr w:type="spellEnd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jednokolumnowym. </w:t>
      </w:r>
    </w:p>
    <w:p w14:paraId="7D541C94" w14:textId="2FD69E6F" w:rsidR="00D84581" w:rsidRPr="000149C6" w:rsidRDefault="00D84581" w:rsidP="000149C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Ostatni fragment tekstu (podtytuły od "Aprilis" do "Perspektywy") podziel na dwie kolumny rozdzielone linią, odstęp między kolumnami ustaw na 0,5 cm. Autor artykułu ma pozostać w układzie jednokolumnowym. </w:t>
      </w:r>
    </w:p>
    <w:p w14:paraId="23D1C701" w14:textId="5A668CF7" w:rsidR="00D62C1B" w:rsidRDefault="00D84581" w:rsidP="000149C6">
      <w:pPr>
        <w:pStyle w:val="Akapitzlist"/>
        <w:numPr>
          <w:ilvl w:val="0"/>
          <w:numId w:val="1"/>
        </w:numPr>
      </w:pPr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Pozostało powklejać obrazki (linki do obrazków </w:t>
      </w:r>
      <w:proofErr w:type="spellStart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>sa</w:t>
      </w:r>
      <w:proofErr w:type="spellEnd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początku ćwiczenia). Ustaw kursor nad podpisem rysunku. Otwórz link Rys1.jpg, zaznacz obrazek (</w:t>
      </w:r>
      <w:proofErr w:type="spellStart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>Ctrl</w:t>
      </w:r>
      <w:proofErr w:type="spellEnd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+ A) i go skopiuj (</w:t>
      </w:r>
      <w:proofErr w:type="spellStart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>Ctrl</w:t>
      </w:r>
      <w:proofErr w:type="spellEnd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+ C). Wróć do edytora Ms Word i wklej go (</w:t>
      </w:r>
      <w:proofErr w:type="spellStart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>Ctrl</w:t>
      </w:r>
      <w:proofErr w:type="spellEnd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+ V) tuż nad podpisem "Rys. 1. Podczas zapisu dane....". Wklejony rysunek może nie mieścić się w kolumnie więc trzeba go przeskalować klikając na dowolny narożnik i przesuwając go w </w:t>
      </w:r>
      <w:proofErr w:type="spellStart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>kieunku</w:t>
      </w:r>
      <w:proofErr w:type="spellEnd"/>
      <w:r w:rsidRPr="000149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środka obrazka. Z pozostałymi obrazkami zrób analogicznie do pierwszego. Rozmieszczenie obrazków widoczne jest na podglądzie.</w:t>
      </w:r>
    </w:p>
    <w:sectPr w:rsidR="00D62C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3370"/>
    <w:multiLevelType w:val="hybridMultilevel"/>
    <w:tmpl w:val="170EB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4A9"/>
    <w:rsid w:val="000149C6"/>
    <w:rsid w:val="00BD5D5F"/>
    <w:rsid w:val="00CB54A9"/>
    <w:rsid w:val="00D62C1B"/>
    <w:rsid w:val="00D8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E9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D84581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84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8458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149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D84581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84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8458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14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6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2915</Words>
  <Characters>17492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GIOVANI</dc:creator>
  <cp:keywords/>
  <dc:description/>
  <cp:lastModifiedBy>admin</cp:lastModifiedBy>
  <cp:revision>3</cp:revision>
  <dcterms:created xsi:type="dcterms:W3CDTF">2018-10-28T09:43:00Z</dcterms:created>
  <dcterms:modified xsi:type="dcterms:W3CDTF">2022-10-19T08:23:00Z</dcterms:modified>
</cp:coreProperties>
</file>